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r>
        <w:pict>
          <v:rect style="width:0;height:1.5pt" o:hralign="center" o:hrstd="t" o:hr="t"/>
        </w:pict>
      </w:r>
    </w:p>
    <w:bookmarkStart w:id="20" w:name="front-matter"/>
    <w:p>
      <w:pPr>
        <w:pStyle w:val="Heading2"/>
      </w:pPr>
      <w:r>
        <w:t xml:space="preserve">Front matter</w:t>
      </w:r>
    </w:p>
    <w:p>
      <w:pPr>
        <w:pStyle w:val="FirstParagraph"/>
      </w:pPr>
      <w:r>
        <w:t xml:space="preserve">title:</w:t>
      </w:r>
      <w:r>
        <w:t xml:space="preserve"> </w:t>
      </w:r>
      <w:r>
        <w:t xml:space="preserve">“</w:t>
      </w:r>
      <w:r>
        <w:t xml:space="preserve">Отчёт по лабораторной работе №7</w:t>
      </w:r>
      <w:r>
        <w:t xml:space="preserve">”</w:t>
      </w:r>
      <w:r>
        <w:t xml:space="preserve"> </w:t>
      </w:r>
      <w:r>
        <w:t xml:space="preserve">subtitle: " Командная оболочка Midnight</w:t>
      </w:r>
      <w:r>
        <w:t xml:space="preserve"> </w:t>
      </w:r>
      <w:r>
        <w:t xml:space="preserve">Commander "</w:t>
      </w:r>
      <w:r>
        <w:t xml:space="preserve"> </w:t>
      </w:r>
      <w:r>
        <w:t xml:space="preserve">author:</w:t>
      </w:r>
      <w:r>
        <w:t xml:space="preserve"> </w:t>
      </w:r>
      <w:r>
        <w:t xml:space="preserve">“</w:t>
      </w:r>
      <w:r>
        <w:t xml:space="preserve">Федорина Эрнест Васильевич НКНбд-01-21</w:t>
      </w:r>
      <w:r>
        <w:t xml:space="preserve">”</w:t>
      </w:r>
    </w:p>
    <w:bookmarkEnd w:id="20"/>
    <w:bookmarkStart w:id="21" w:name="generic-otions"/>
    <w:p>
      <w:pPr>
        <w:pStyle w:val="Heading2"/>
      </w:pPr>
      <w:r>
        <w:t xml:space="preserve">Generic otions</w:t>
      </w:r>
    </w:p>
    <w:p>
      <w:pPr>
        <w:pStyle w:val="FirstParagraph"/>
      </w:pPr>
      <w:r>
        <w:t xml:space="preserve">lang: ru-RU</w:t>
      </w:r>
      <w:r>
        <w:t xml:space="preserve"> </w:t>
      </w:r>
      <w:r>
        <w:t xml:space="preserve">toc-title:</w:t>
      </w:r>
      <w:r>
        <w:t xml:space="preserve"> </w:t>
      </w:r>
      <w:r>
        <w:t xml:space="preserve">“</w:t>
      </w:r>
      <w:r>
        <w:t xml:space="preserve">Содержание</w:t>
      </w:r>
      <w:r>
        <w:t xml:space="preserve">”</w:t>
      </w:r>
    </w:p>
    <w:bookmarkEnd w:id="21"/>
    <w:bookmarkStart w:id="22" w:name="bibliography"/>
    <w:p>
      <w:pPr>
        <w:pStyle w:val="Heading2"/>
      </w:pPr>
      <w:r>
        <w:t xml:space="preserve">Bibliography</w:t>
      </w:r>
    </w:p>
    <w:p>
      <w:pPr>
        <w:pStyle w:val="FirstParagraph"/>
      </w:pPr>
      <w:r>
        <w:t xml:space="preserve">bibliography: bib/cite.bib</w:t>
      </w:r>
      <w:r>
        <w:t xml:space="preserve"> </w:t>
      </w:r>
      <w:r>
        <w:t xml:space="preserve">csl: pandoc/csl/gost-r-7-0-5-2008-numeric.csl</w:t>
      </w:r>
    </w:p>
    <w:bookmarkEnd w:id="22"/>
    <w:bookmarkStart w:id="25" w:name="pdf-output-format"/>
    <w:p>
      <w:pPr>
        <w:pStyle w:val="Heading2"/>
      </w:pPr>
      <w:r>
        <w:t xml:space="preserve">Pdf output format</w:t>
      </w:r>
    </w:p>
    <w:p>
      <w:pPr>
        <w:pStyle w:val="FirstParagraph"/>
      </w:pPr>
      <w:r>
        <w:t xml:space="preserve">toc: true # Table of contents</w:t>
      </w:r>
      <w:r>
        <w:t xml:space="preserve"> </w:t>
      </w:r>
      <w:r>
        <w:t xml:space="preserve">toc-depth: 2</w:t>
      </w:r>
      <w:r>
        <w:t xml:space="preserve"> </w:t>
      </w:r>
      <w:r>
        <w:t xml:space="preserve">lof: true # List of figures</w:t>
      </w:r>
      <w:r>
        <w:t xml:space="preserve"> </w:t>
      </w:r>
      <w:r>
        <w:t xml:space="preserve">lot: true # List of tables</w:t>
      </w:r>
      <w:r>
        <w:t xml:space="preserve"> </w:t>
      </w:r>
      <w:r>
        <w:t xml:space="preserve">fontsize: 12pt</w:t>
      </w:r>
      <w:r>
        <w:t xml:space="preserve"> </w:t>
      </w:r>
      <w:r>
        <w:t xml:space="preserve">linestretch: 1.5</w:t>
      </w:r>
      <w:r>
        <w:t xml:space="preserve"> </w:t>
      </w:r>
      <w:r>
        <w:t xml:space="preserve">papersize: a4</w:t>
      </w:r>
      <w:r>
        <w:t xml:space="preserve"> </w:t>
      </w:r>
      <w:r>
        <w:t xml:space="preserve">documentclass: scrreprt</w:t>
      </w:r>
      <w:r>
        <w:t xml:space="preserve"> </w:t>
      </w:r>
      <w:r>
        <w:t xml:space="preserve">## I18n polyglossia</w:t>
      </w:r>
      <w:r>
        <w:t xml:space="preserve"> </w:t>
      </w:r>
      <w:r>
        <w:t xml:space="preserve">polyglossia-lang:</w:t>
      </w:r>
      <w:r>
        <w:t xml:space="preserve"> </w:t>
      </w:r>
      <w:r>
        <w:t xml:space="preserve">name: russian</w:t>
      </w:r>
      <w:r>
        <w:t xml:space="preserve"> </w:t>
      </w:r>
      <w:r>
        <w:t xml:space="preserve">options:</w:t>
      </w:r>
      <w:r>
        <w:t xml:space="preserve"> </w:t>
      </w:r>
      <w:r>
        <w:t xml:space="preserve">- spelling=modern</w:t>
      </w:r>
      <w:r>
        <w:t xml:space="preserve"> </w:t>
      </w:r>
      <w:r>
        <w:t xml:space="preserve">- babelshorthands=true</w:t>
      </w:r>
      <w:r>
        <w:t xml:space="preserve"> </w:t>
      </w:r>
      <w:r>
        <w:t xml:space="preserve">polyglossia-otherlangs:</w:t>
      </w:r>
      <w:r>
        <w:t xml:space="preserve"> </w:t>
      </w:r>
      <w:r>
        <w:t xml:space="preserve">name: english</w:t>
      </w:r>
      <w:r>
        <w:t xml:space="preserve"> </w:t>
      </w:r>
      <w:r>
        <w:t xml:space="preserve">## I18n babel</w:t>
      </w:r>
      <w:r>
        <w:t xml:space="preserve"> </w:t>
      </w:r>
      <w:r>
        <w:t xml:space="preserve">babel-lang: russian</w:t>
      </w:r>
      <w:r>
        <w:t xml:space="preserve"> </w:t>
      </w:r>
      <w:r>
        <w:t xml:space="preserve">babel-otherlangs: english</w:t>
      </w:r>
      <w:r>
        <w:t xml:space="preserve"> </w:t>
      </w:r>
      <w:r>
        <w:t xml:space="preserve">## Fonts</w:t>
      </w:r>
      <w:r>
        <w:t xml:space="preserve"> </w:t>
      </w:r>
      <w:r>
        <w:t xml:space="preserve">mainfont: PT Serif</w:t>
      </w:r>
      <w:r>
        <w:t xml:space="preserve"> </w:t>
      </w:r>
      <w:r>
        <w:t xml:space="preserve">romanfont: PT Serif</w:t>
      </w:r>
      <w:r>
        <w:t xml:space="preserve"> </w:t>
      </w:r>
      <w:r>
        <w:t xml:space="preserve">sansfont: PT Sans</w:t>
      </w:r>
      <w:r>
        <w:t xml:space="preserve"> </w:t>
      </w:r>
      <w:r>
        <w:t xml:space="preserve">monofont: PT Mono</w:t>
      </w:r>
      <w:r>
        <w:t xml:space="preserve"> </w:t>
      </w:r>
      <w:r>
        <w:t xml:space="preserve">mainfontoptions: Ligatures=TeX</w:t>
      </w:r>
      <w:r>
        <w:t xml:space="preserve"> </w:t>
      </w:r>
      <w:r>
        <w:t xml:space="preserve">romanfontoptions: Ligatures=TeX</w:t>
      </w:r>
      <w:r>
        <w:t xml:space="preserve"> </w:t>
      </w:r>
      <w:r>
        <w:t xml:space="preserve">sansfontoptions: Ligatures=TeX,Scale=MatchLowercase</w:t>
      </w:r>
      <w:r>
        <w:t xml:space="preserve"> </w:t>
      </w:r>
      <w:r>
        <w:t xml:space="preserve">monofontoptions: Scale=MatchLowercase,Scale=0.9</w:t>
      </w:r>
      <w:r>
        <w:t xml:space="preserve"> </w:t>
      </w:r>
      <w:r>
        <w:t xml:space="preserve">## Biblatex</w:t>
      </w:r>
      <w:r>
        <w:t xml:space="preserve"> </w:t>
      </w:r>
      <w:r>
        <w:t xml:space="preserve">biblatex: true</w:t>
      </w:r>
      <w:r>
        <w:t xml:space="preserve"> </w:t>
      </w:r>
      <w:r>
        <w:t xml:space="preserve">biblio-style:</w:t>
      </w:r>
      <w:r>
        <w:t xml:space="preserve"> </w:t>
      </w:r>
      <w:r>
        <w:t xml:space="preserve">“</w:t>
      </w:r>
      <w:r>
        <w:t xml:space="preserve">gost-numeric</w:t>
      </w:r>
      <w:r>
        <w:t xml:space="preserve">”</w:t>
      </w:r>
      <w:r>
        <w:t xml:space="preserve"> </w:t>
      </w:r>
      <w:r>
        <w:t xml:space="preserve">biblatexoptions:</w:t>
      </w:r>
      <w:r>
        <w:t xml:space="preserve"> </w:t>
      </w:r>
      <w:r>
        <w:t xml:space="preserve">- parentracker=true</w:t>
      </w:r>
      <w:r>
        <w:t xml:space="preserve"> </w:t>
      </w:r>
      <w:r>
        <w:t xml:space="preserve">- backend=biber</w:t>
      </w:r>
      <w:r>
        <w:t xml:space="preserve"> </w:t>
      </w:r>
      <w:r>
        <w:t xml:space="preserve">- hyperref=auto</w:t>
      </w:r>
      <w:r>
        <w:t xml:space="preserve"> </w:t>
      </w:r>
      <w:r>
        <w:t xml:space="preserve">- language=auto</w:t>
      </w:r>
      <w:r>
        <w:t xml:space="preserve"> </w:t>
      </w:r>
      <w:r>
        <w:t xml:space="preserve">- autolang=other*</w:t>
      </w:r>
      <w:r>
        <w:t xml:space="preserve"> </w:t>
      </w:r>
      <w:r>
        <w:t xml:space="preserve">- citestyle=gost-numeric</w:t>
      </w:r>
      <w:r>
        <w:t xml:space="preserve"> </w:t>
      </w:r>
      <w:r>
        <w:t xml:space="preserve">## Pandoc-crossref LaTeX customization</w:t>
      </w:r>
      <w:r>
        <w:t xml:space="preserve"> </w:t>
      </w:r>
      <w:r>
        <w:t xml:space="preserve">figureTitle:</w:t>
      </w:r>
      <w:r>
        <w:t xml:space="preserve"> </w:t>
      </w:r>
      <w:r>
        <w:t xml:space="preserve">“</w:t>
      </w:r>
      <w:r>
        <w:t xml:space="preserve">Рис.</w:t>
      </w:r>
      <w:r>
        <w:t xml:space="preserve">”</w:t>
      </w:r>
      <w:r>
        <w:t xml:space="preserve"> </w:t>
      </w:r>
      <w:r>
        <w:t xml:space="preserve">tableTitle:</w:t>
      </w:r>
      <w:r>
        <w:t xml:space="preserve"> </w:t>
      </w:r>
      <w:r>
        <w:t xml:space="preserve">“</w:t>
      </w:r>
      <w:r>
        <w:t xml:space="preserve">Таблица</w:t>
      </w:r>
      <w:r>
        <w:t xml:space="preserve">”</w:t>
      </w:r>
      <w:r>
        <w:t xml:space="preserve"> </w:t>
      </w:r>
      <w:r>
        <w:t xml:space="preserve">listingTitle:</w:t>
      </w:r>
      <w:r>
        <w:t xml:space="preserve"> </w:t>
      </w:r>
      <w:r>
        <w:t xml:space="preserve">“</w:t>
      </w:r>
      <w:r>
        <w:t xml:space="preserve">Листинг</w:t>
      </w:r>
      <w:r>
        <w:t xml:space="preserve">”</w:t>
      </w:r>
      <w:r>
        <w:t xml:space="preserve"> </w:t>
      </w:r>
      <w:r>
        <w:t xml:space="preserve">lofTitle:</w:t>
      </w:r>
      <w:r>
        <w:t xml:space="preserve"> </w:t>
      </w:r>
      <w:r>
        <w:t xml:space="preserve">“</w:t>
      </w:r>
      <w:r>
        <w:t xml:space="preserve">Список иллюстраций</w:t>
      </w:r>
      <w:r>
        <w:t xml:space="preserve">”</w:t>
      </w:r>
      <w:r>
        <w:t xml:space="preserve"> </w:t>
      </w:r>
      <w:r>
        <w:t xml:space="preserve">lotTitle:</w:t>
      </w:r>
      <w:r>
        <w:t xml:space="preserve"> </w:t>
      </w:r>
      <w:r>
        <w:t xml:space="preserve">“</w:t>
      </w:r>
      <w:r>
        <w:t xml:space="preserve">Список таблиц</w:t>
      </w:r>
      <w:r>
        <w:t xml:space="preserve">”</w:t>
      </w:r>
      <w:r>
        <w:t xml:space="preserve"> </w:t>
      </w:r>
      <w:r>
        <w:t xml:space="preserve">lolTitle:</w:t>
      </w:r>
      <w:r>
        <w:t xml:space="preserve"> </w:t>
      </w:r>
      <w:r>
        <w:t xml:space="preserve">“</w:t>
      </w:r>
      <w:r>
        <w:t xml:space="preserve">Листинги</w:t>
      </w:r>
      <w:r>
        <w:t xml:space="preserve">”</w:t>
      </w:r>
      <w:r>
        <w:t xml:space="preserve"> </w:t>
      </w:r>
      <w:r>
        <w:t xml:space="preserve">## Misc options</w:t>
      </w:r>
      <w:r>
        <w:t xml:space="preserve"> </w:t>
      </w:r>
      <w:r>
        <w:t xml:space="preserve">indent: true</w:t>
      </w:r>
      <w:r>
        <w:t xml:space="preserve"> </w:t>
      </w:r>
      <w:r>
        <w:t xml:space="preserve">header-includes:</w:t>
      </w:r>
      <w:r>
        <w:t xml:space="preserve"> </w:t>
      </w:r>
      <w:r>
        <w:t xml:space="preserve">-</w:t>
      </w:r>
    </w:p>
    <w:p>
      <w:pPr>
        <w:numPr>
          <w:ilvl w:val="0"/>
          <w:numId w:val="1000"/>
        </w:numPr>
        <w:pStyle w:val="Heading1"/>
      </w:pPr>
      <w:bookmarkStart w:id="23" w:name="keep-figures-where-there-are-in-the-text"/>
      <w:r>
        <w:t xml:space="preserve">keep figures where there are in the text</w:t>
      </w:r>
      <w:bookmarkEnd w:id="23"/>
    </w:p>
    <w:p>
      <w:pPr>
        <w:numPr>
          <w:ilvl w:val="1"/>
          <w:numId w:val="1002"/>
        </w:numPr>
        <w:pStyle w:val="Heading2"/>
      </w:pPr>
      <w:bookmarkStart w:id="24" w:name="X94ea5b1a9ad1db96c8ed73c19fcaa297f45e42d"/>
      <w:r>
        <w:t xml:space="preserve"> </w:t>
      </w:r>
      <w:r>
        <w:t xml:space="preserve"># keep figures where there are in the text</w:t>
      </w:r>
      <w:bookmarkEnd w:id="24"/>
    </w:p>
    <w:bookmarkEnd w:id="25"/>
    <w:bookmarkStart w:id="26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  <w:r>
        <w:t xml:space="preserve"> </w:t>
      </w:r>
      <w:r>
        <w:t xml:space="preserve"># Задание</w:t>
      </w:r>
    </w:p>
    <w:p>
      <w:pPr>
        <w:pStyle w:val="BodyText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  <w:r>
        <w:t xml:space="preserve"> </w:t>
      </w:r>
      <w:r>
        <w:t xml:space="preserve">4. 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p>
      <w:pPr>
        <w:pStyle w:val="BodyText"/>
      </w:pPr>
      <w:r>
        <w:t xml:space="preserve">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6"/>
    <w:bookmarkStart w:id="27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</w:t>
      </w:r>
      <w:r>
        <w:t xml:space="preserve"> </w:t>
      </w:r>
      <w:r>
        <w:t xml:space="preserve">Midnight Commander (или mc) — псевдографическая командная оболочка для UNIX/Linux</w:t>
      </w:r>
      <w:r>
        <w:t xml:space="preserve"> </w:t>
      </w:r>
      <w:r>
        <w:t xml:space="preserve">систем. Для запуска mc необходимо в командной строке набрать mc и нажать Enter .</w:t>
      </w:r>
      <w:r>
        <w:t xml:space="preserve"> </w:t>
      </w:r>
      <w:r>
        <w:t xml:space="preserve">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каталогов.</w:t>
      </w:r>
      <w:r>
        <w:t xml:space="preserve"> </w:t>
      </w:r>
      <w:r>
        <w:t xml:space="preserve">Над панелями располагается меню,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ассоциированные с функциональными клавишами F1 – F10. Над ними располагается</w:t>
      </w:r>
      <w:r>
        <w:t xml:space="preserve"> </w:t>
      </w:r>
      <w:r>
        <w:t xml:space="preserve">командная строка, предназначенная для ввода команд.</w:t>
      </w:r>
    </w:p>
    <w:bookmarkEnd w:id="27"/>
    <w:bookmarkStart w:id="3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Предварительно изучив команду mc запустил его и изучил структуру меню(рис.1)</w:t>
      </w:r>
      <w:r>
        <w:t xml:space="preserve"> </w:t>
      </w:r>
      <w:r>
        <w:drawing>
          <wp:inline>
            <wp:extent cx="5334000" cy="3789180"/>
            <wp:effectExtent b="0" l="0" r="0" t="0"/>
            <wp:docPr descr="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9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{рис.1}</w:t>
      </w:r>
    </w:p>
    <w:p>
      <w:pPr>
        <w:pStyle w:val="BodyText"/>
      </w:pPr>
      <w:r>
        <w:t xml:space="preserve">Выполнил несколько операций в mc(операции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 На рисунке выделение файлов(рис.2)</w:t>
      </w:r>
    </w:p>
    <w:p>
      <w:pPr>
        <w:pStyle w:val="BodyText"/>
      </w:pPr>
      <w:r>
        <w:drawing>
          <wp:inline>
            <wp:extent cx="5334000" cy="3424888"/>
            <wp:effectExtent b="0" l="0" r="0" t="0"/>
            <wp:docPr descr="panels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{рис.2}</w:t>
      </w:r>
    </w:p>
    <w:p>
      <w:pPr>
        <w:pStyle w:val="BodyText"/>
      </w:pPr>
      <w:r>
        <w:t xml:space="preserve">Выполнил основные команды меню правой панели. Оценил степень</w:t>
      </w:r>
      <w:r>
        <w:t xml:space="preserve"> </w:t>
      </w:r>
      <w:r>
        <w:t xml:space="preserve">подробности вывода информации о файлах(достаточно подробная информация)</w:t>
      </w:r>
      <w:r>
        <w:t xml:space="preserve"> </w:t>
      </w:r>
      <w:r>
        <w:t xml:space="preserve">(рис.3)</w:t>
      </w:r>
    </w:p>
    <w:p>
      <w:pPr>
        <w:pStyle w:val="BodyText"/>
      </w:pPr>
      <w:r>
        <w:drawing>
          <wp:inline>
            <wp:extent cx="5334000" cy="3424888"/>
            <wp:effectExtent b="0" l="0" r="0" t="0"/>
            <wp:docPr descr="right_p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{рис.3}</w:t>
      </w:r>
    </w:p>
    <w:p>
      <w:pPr>
        <w:pStyle w:val="BodyText"/>
      </w:pPr>
      <w:r>
        <w:t xml:space="preserve">Используя возможности подменю Файл , выполнил: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 (рис.4)</w:t>
      </w:r>
    </w:p>
    <w:p>
      <w:pPr>
        <w:pStyle w:val="BodyText"/>
      </w:pPr>
      <w:r>
        <w:drawing>
          <wp:inline>
            <wp:extent cx="5334000" cy="3937461"/>
            <wp:effectExtent b="0" l="0" r="0" t="0"/>
            <wp:docPr descr="file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{рис.4}</w:t>
      </w:r>
    </w:p>
    <w:p>
      <w:pPr>
        <w:pStyle w:val="BodyText"/>
      </w:pPr>
      <w:r>
        <w:t xml:space="preserve">С помощью соответствующих средств подменю Команда осуществил: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расширений.(рис.5,6)</w:t>
      </w:r>
    </w:p>
    <w:p>
      <w:pPr>
        <w:pStyle w:val="BodyText"/>
      </w:pPr>
      <w:r>
        <w:drawing>
          <wp:inline>
            <wp:extent cx="5334000" cy="3786094"/>
            <wp:effectExtent b="0" l="0" r="0" t="0"/>
            <wp:docPr descr="command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{рис.5}</w:t>
      </w:r>
      <w:r>
        <w:t xml:space="preserve"> </w:t>
      </w:r>
      <w:r>
        <w:drawing>
          <wp:inline>
            <wp:extent cx="5334000" cy="3872904"/>
            <wp:effectExtent b="0" l="0" r="0" t="0"/>
            <wp:docPr descr="command1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{рис.6}</w:t>
      </w:r>
    </w:p>
    <w:p>
      <w:pPr>
        <w:pStyle w:val="BodyText"/>
      </w:pPr>
      <w:r>
        <w:t xml:space="preserve">Вызвал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и изучил некоторые операции(рис.7,8)</w:t>
      </w:r>
    </w:p>
    <w:p>
      <w:pPr>
        <w:pStyle w:val="BodyText"/>
      </w:pPr>
      <w:r>
        <w:drawing>
          <wp:inline>
            <wp:extent cx="5334000" cy="3807091"/>
            <wp:effectExtent b="0" l="0" r="0" t="0"/>
            <wp:docPr descr="settings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7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{рис.7}</w:t>
      </w:r>
    </w:p>
    <w:p>
      <w:pPr>
        <w:pStyle w:val="BodyText"/>
      </w:pPr>
      <w:r>
        <w:drawing>
          <wp:inline>
            <wp:extent cx="5334000" cy="3240776"/>
            <wp:effectExtent b="0" l="0" r="0" t="0"/>
            <wp:docPr descr="settings1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{рис.8}</w:t>
      </w:r>
    </w:p>
    <w:p>
      <w:pPr>
        <w:pStyle w:val="BodyText"/>
      </w:pPr>
      <w:r>
        <w:t xml:space="preserve">Создав текстовый файл text.txt, вставил в него фрагмент текста из интернета</w:t>
      </w:r>
      <w:r>
        <w:t xml:space="preserve"> </w:t>
      </w:r>
      <w:r>
        <w:drawing>
          <wp:inline>
            <wp:extent cx="5334000" cy="2703534"/>
            <wp:effectExtent b="0" l="0" r="0" t="0"/>
            <wp:docPr descr="mcedit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{рис.9}</w:t>
      </w:r>
    </w:p>
    <w:p>
      <w:pPr>
        <w:pStyle w:val="BodyText"/>
      </w:pPr>
      <w:r>
        <w:t xml:space="preserve">Удалил строку текста, выделил фрагмент и скопировал его, перенёс на другую строку, сохранил файл, отменил последнее действие и опять написал некоторый текст, а затем опять созранил и закрыл файл. Всё это сделано с помонью горячих клавиш.(рис.10,11)</w:t>
      </w:r>
      <w:r>
        <w:t xml:space="preserve"> </w:t>
      </w:r>
      <w:r>
        <w:drawing>
          <wp:inline>
            <wp:extent cx="4680704" cy="2122942"/>
            <wp:effectExtent b="0" l="0" r="0" t="0"/>
            <wp:docPr descr="operations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704" cy="2122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{рис.10}</w:t>
      </w:r>
    </w:p>
    <w:p>
      <w:pPr>
        <w:pStyle w:val="BodyText"/>
      </w:pPr>
      <w:r>
        <w:drawing>
          <wp:inline>
            <wp:extent cx="5334000" cy="2623634"/>
            <wp:effectExtent b="0" l="0" r="0" t="0"/>
            <wp:docPr descr="operations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{рис.11}</w:t>
      </w:r>
    </w:p>
    <w:p>
      <w:pPr>
        <w:pStyle w:val="BodyText"/>
      </w:pPr>
      <w:r>
        <w:t xml:space="preserve">Используя меню редактора, открыл файл на языке программирования и включил подсветку синтаксиса, если она не включена,</w:t>
      </w:r>
    </w:p>
    <w:p>
      <w:pPr>
        <w:pStyle w:val="BodyText"/>
      </w:pPr>
      <w:r>
        <w:drawing>
          <wp:inline>
            <wp:extent cx="5334000" cy="3754514"/>
            <wp:effectExtent b="0" l="0" r="0" t="0"/>
            <wp:docPr descr="json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{рис.12}</w:t>
      </w:r>
    </w:p>
    <w:bookmarkEnd w:id="39"/>
    <w:bookmarkStart w:id="4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Освоил основные возможности командной оболочки Midnight Commander. Приобрёл навыки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2022-05-14T09:36:35Z</dcterms:created>
  <dcterms:modified xsi:type="dcterms:W3CDTF">2022-05-14T09:36:35Z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